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ОЕКТ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 Р А В И Т Е Л Ь С Т В О   Е В Р Е Й С К О Й   А В Т О Н О М Н О Й   О Б Л А С Т И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                              № 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Биробиджан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15.10.2021 № 397-пп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строительном надзоре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равительство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15.10.2021 № 397-пп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строительном надзоре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строительном надзоре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утвержденном вышеуказанным постановлением: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1.3 </w:t>
      </w:r>
      <w:r>
        <w:rPr>
          <w:rFonts w:ascii="Times New Roman" w:hAnsi="Times New Roman" w:cs="Times New Roman"/>
          <w:sz w:val="28"/>
          <w:szCs w:val="28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инспекцией государственного строительного надзора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инспекци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государственного строительного и жилищного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второй пункта 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начальник Инспекции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главный государственный жилищный инспектор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(далее – начальник инспекции);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абзац третий пункта 3.6 раздела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«Профилактика рисков причинения вреда (ущерба) охраняемым законом ценностям» 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еречень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индикаторов риска нарушения обязательных требований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осуществлении регионального государственного 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строительного надзора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утвержденный вышеуказанным постановлением,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«Перечень</w:t>
      </w:r>
      <w:r/>
    </w:p>
    <w:p>
      <w:pPr>
        <w:ind w:firstLine="709"/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индикаторов риска нарушения обязательных требований</w:t>
      </w:r>
      <w:r/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осуществлении регионального государственного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строительного надзора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индикаторам риска нарушения обязательных требований при осуществлении регионального государственного строительного надзора относятся: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Непредставление в инспекцию застройщиком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(техническим заказчиком) извещения о начале строительства в соответствии с частью 5 статьи 52 Градостроительного кодекса Российской Федерации (при наличии поступившей в адрес инспекции копии разрешения на строительство в соответствии с частью 15 статьи 51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Градостроительного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 течение 30 дней с даты поступления указанной копии разрешения на строительство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олучение от застройщика, технического заказчика, лица, осуществляющего строительство, реконструкцию объекта капитального строительства, извещения об изменении сроков наступления события, которое является основанием для проведения контрольного (надзорного)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ероприятия, предусмотренного программой проверок, по причине прекращения или приостановления контролируемым лицом работ по строительству, реконструкции объекта капитального строительства на период более чем шесть месяцев с даты поступления указанного извещ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Настоящее постановление вступает в силу со дня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его подписания, </w:t>
        <w:br/>
        <w:t xml:space="preserve">но не ранее 01 января 2024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2"/>
    <w:uiPriority w:val="99"/>
  </w:style>
  <w:style w:type="character" w:styleId="712">
    <w:name w:val="Footer Char"/>
    <w:basedOn w:val="859"/>
    <w:link w:val="864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4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160" w:line="256" w:lineRule="auto"/>
    </w:p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58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9"/>
    <w:link w:val="862"/>
    <w:uiPriority w:val="99"/>
  </w:style>
  <w:style w:type="paragraph" w:styleId="864">
    <w:name w:val="Footer"/>
    <w:basedOn w:val="858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9"/>
    <w:link w:val="864"/>
    <w:uiPriority w:val="99"/>
  </w:style>
  <w:style w:type="paragraph" w:styleId="866">
    <w:name w:val="Balloon Text"/>
    <w:basedOn w:val="858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59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List Paragraph"/>
    <w:basedOn w:val="858"/>
    <w:uiPriority w:val="34"/>
    <w:qFormat/>
    <w:pPr>
      <w:contextualSpacing/>
      <w:ind w:left="720"/>
    </w:pPr>
  </w:style>
  <w:style w:type="table" w:styleId="869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0" w:customStyle="1">
    <w:name w:val="Цветовое выделение для Текст"/>
    <w:qFormat/>
    <w:rPr>
      <w:sz w:val="24"/>
    </w:rPr>
  </w:style>
  <w:style w:type="paragraph" w:styleId="871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revision>92</cp:revision>
  <dcterms:created xsi:type="dcterms:W3CDTF">2020-05-28T01:10:00Z</dcterms:created>
  <dcterms:modified xsi:type="dcterms:W3CDTF">2023-11-02T06:50:25Z</dcterms:modified>
</cp:coreProperties>
</file>